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53" w:rsidRPr="00B71EB8" w:rsidRDefault="00785453" w:rsidP="00B71EB8">
      <w:pPr>
        <w:spacing w:after="0"/>
        <w:rPr>
          <w:rStyle w:val="mail-message-toolbar-subject-wrapper"/>
          <w:rFonts w:cstheme="minorHAnsi"/>
          <w:b/>
          <w:sz w:val="28"/>
          <w:szCs w:val="28"/>
        </w:rPr>
      </w:pPr>
      <w:bookmarkStart w:id="0" w:name="_Hlk475901854"/>
      <w:r w:rsidRPr="00B71EB8">
        <w:rPr>
          <w:rStyle w:val="mail-message-toolbar-subject-wrapper"/>
          <w:rFonts w:cstheme="minorHAnsi"/>
          <w:b/>
          <w:sz w:val="28"/>
          <w:szCs w:val="28"/>
        </w:rPr>
        <w:t xml:space="preserve">Тема: </w:t>
      </w:r>
    </w:p>
    <w:p w:rsidR="00727744" w:rsidRPr="00B71EB8" w:rsidRDefault="00785453" w:rsidP="00B71EB8">
      <w:pPr>
        <w:spacing w:after="0"/>
        <w:rPr>
          <w:rFonts w:cstheme="minorHAnsi"/>
          <w:b/>
          <w:noProof/>
          <w:sz w:val="28"/>
          <w:szCs w:val="28"/>
          <w:lang w:eastAsia="ru-RU"/>
        </w:rPr>
      </w:pPr>
      <w:r w:rsidRPr="00B71EB8">
        <w:rPr>
          <w:rStyle w:val="mail-message-toolbar-subject-wrapper"/>
          <w:rFonts w:cstheme="minorHAnsi"/>
          <w:b/>
          <w:sz w:val="28"/>
          <w:szCs w:val="28"/>
        </w:rPr>
        <w:t xml:space="preserve">Программа для расчета стоимости платных медицинских услуг, комплексов, стандартов, КГС, справок, </w:t>
      </w:r>
      <w:proofErr w:type="spellStart"/>
      <w:r w:rsidRPr="00B71EB8">
        <w:rPr>
          <w:rStyle w:val="mail-message-toolbar-subject-wrapper"/>
          <w:rFonts w:cstheme="minorHAnsi"/>
          <w:b/>
          <w:sz w:val="28"/>
          <w:szCs w:val="28"/>
        </w:rPr>
        <w:t>ПрофОсмотров</w:t>
      </w:r>
      <w:proofErr w:type="spellEnd"/>
      <w:r w:rsidRPr="00B71EB8">
        <w:rPr>
          <w:rStyle w:val="mail-message-toolbar-subject-wrapper"/>
          <w:rFonts w:cstheme="minorHAnsi"/>
          <w:b/>
          <w:sz w:val="28"/>
          <w:szCs w:val="28"/>
        </w:rPr>
        <w:t>, путёвок</w:t>
      </w:r>
    </w:p>
    <w:p w:rsidR="00785453" w:rsidRPr="00B71EB8" w:rsidRDefault="00B71EB8" w:rsidP="00B71EB8">
      <w:pPr>
        <w:spacing w:after="0"/>
        <w:rPr>
          <w:rFonts w:cstheme="minorHAnsi"/>
          <w:noProof/>
          <w:sz w:val="28"/>
          <w:szCs w:val="28"/>
          <w:lang w:eastAsia="ru-RU"/>
        </w:rPr>
      </w:pPr>
      <w:r w:rsidRPr="00B71EB8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477000" cy="3133725"/>
            <wp:effectExtent l="19050" t="0" r="0" b="0"/>
            <wp:docPr id="1" name="Рисунок 1" descr="D:\яндекс диск\YandexDisk\медцентр\материалы для работы\ime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ндекс диск\YandexDisk\медцентр\материалы для работы\ime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proofErr w:type="gramStart"/>
      <w:r w:rsidRPr="00B71EB8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Лаборатория медицинского программного обеспечения при РЭУ им. Г.В. Плеханова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предлагает авторское программное обеспечение для расчёта стоимости платных медицинских услуг</w:t>
      </w: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«Автоматизированная система управления стоимостью медицинских услуг»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>, позволяющее проводить детализированный расчёт затрат на оказание медицинских услуг, а также группировок услуг (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клинико‐статистических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групп, законченных случаев, стандартов, схем лечения) по методу прямого счета. </w:t>
      </w:r>
      <w:proofErr w:type="gramEnd"/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i/>
          <w:iCs/>
          <w:color w:val="002060"/>
          <w:sz w:val="28"/>
          <w:szCs w:val="28"/>
          <w:shd w:val="clear" w:color="auto" w:fill="FFFFFF"/>
        </w:rPr>
        <w:t>Программа зарегистрирована в Федеральной службе по интеллектуальной собственности (Роспатент) – свидетельство о государственной регистрации программы для ЭВМ №</w:t>
      </w:r>
      <w:r w:rsidRPr="00B71EB8">
        <w:rPr>
          <w:rStyle w:val="wmi-callto"/>
          <w:rFonts w:asciiTheme="minorHAnsi" w:hAnsiTheme="minorHAnsi" w:cstheme="minorHAnsi"/>
          <w:i/>
          <w:iCs/>
          <w:color w:val="002060"/>
          <w:sz w:val="28"/>
          <w:szCs w:val="28"/>
          <w:shd w:val="clear" w:color="auto" w:fill="FFFFFF"/>
        </w:rPr>
        <w:t>2013614923</w:t>
      </w:r>
      <w:r w:rsidRPr="00B71EB8">
        <w:rPr>
          <w:rFonts w:asciiTheme="minorHAnsi" w:hAnsiTheme="minorHAnsi" w:cstheme="minorHAnsi"/>
          <w:i/>
          <w:iCs/>
          <w:color w:val="002060"/>
          <w:sz w:val="28"/>
          <w:szCs w:val="28"/>
          <w:shd w:val="clear" w:color="auto" w:fill="FFFFFF"/>
        </w:rPr>
        <w:t>.</w:t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i/>
          <w:iCs/>
          <w:color w:val="002060"/>
          <w:sz w:val="28"/>
          <w:szCs w:val="28"/>
          <w:shd w:val="clear" w:color="auto" w:fill="FFFFFF"/>
        </w:rPr>
        <w:t> </w:t>
      </w:r>
      <w:r w:rsidRPr="00B71EB8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shd w:val="clear" w:color="auto" w:fill="FFFFFF"/>
        </w:rPr>
        <w:t xml:space="preserve">Выгоды </w:t>
      </w:r>
      <w:r w:rsidR="00AC1D6A" w:rsidRPr="00B71EB8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shd w:val="clear" w:color="auto" w:fill="FFFFFF"/>
        </w:rPr>
        <w:t>для</w:t>
      </w:r>
      <w:r w:rsidRPr="00B71EB8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shd w:val="clear" w:color="auto" w:fill="FFFFFF"/>
        </w:rPr>
        <w:t xml:space="preserve"> медицинских учреждений при использовании программы:</w:t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157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1.     Гарантированное спокойствие во время проверок контрольно-ревизионного управления (КРУ) </w:t>
      </w:r>
      <w:proofErr w:type="spellStart"/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МинЗдрава</w:t>
      </w:r>
      <w:proofErr w:type="spellEnd"/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при запросе обоснования калькуляции цен на платные медицинские услуги - из программы распечатываются паспорта услуг;</w:t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157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2.     Оперативный перерасчет всего прейскуранта – до 1 дня, путем изменения нескольких параметров;</w:t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157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>3.     Прозрачность себестоимости;</w:t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157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4.     Возможность планировать ФОТ исходя из фактически заложенных средств на заработную плату медицинскому персоналу;</w:t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157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5.     Обеспечение базой моделей структуры стоимости медицинских услуг амбулатории, стационара, лаборатории и др. (более 2 500 моделей);</w:t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157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6.     Ведение одновременно прейскуранта в разрезе ценовых профилей: VIP, ДМС, общий прейскурант;</w:t>
      </w:r>
    </w:p>
    <w:p w:rsidR="00785453" w:rsidRPr="00B71EB8" w:rsidRDefault="00785453" w:rsidP="00B71EB8">
      <w:pPr>
        <w:pStyle w:val="a5"/>
        <w:shd w:val="clear" w:color="auto" w:fill="FFFFFF"/>
        <w:spacing w:after="0" w:afterAutospacing="0"/>
        <w:ind w:left="157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7.     Выгрузка базы медикаментов, используемых при оказании платных медицинских услуг, для планирования закупок и др.</w:t>
      </w:r>
    </w:p>
    <w:p w:rsidR="00785453" w:rsidRPr="00B71EB8" w:rsidRDefault="00785453" w:rsidP="007F4D4D">
      <w:pPr>
        <w:pStyle w:val="a5"/>
        <w:spacing w:after="0" w:afterAutospacing="0"/>
        <w:ind w:left="709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sz w:val="28"/>
          <w:szCs w:val="28"/>
        </w:rPr>
        <w:t> </w:t>
      </w:r>
      <w:r w:rsidRPr="00B71EB8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Программа позволяет:</w:t>
      </w:r>
    </w:p>
    <w:p w:rsidR="00785453" w:rsidRPr="00B71EB8" w:rsidRDefault="00785453" w:rsidP="00B71EB8">
      <w:pPr>
        <w:pStyle w:val="a5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·                </w:t>
      </w:r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формировать для каждой услуги полную структуру затрат, включая затраты на медикаменты, оплату персонала, амортизацию оборудования, общехозяйственные и накладные расходы, по методу прямого счета;</w:t>
      </w:r>
    </w:p>
    <w:p w:rsidR="00785453" w:rsidRPr="00B71EB8" w:rsidRDefault="00785453" w:rsidP="00B71EB8">
      <w:pPr>
        <w:pStyle w:val="a5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·                </w:t>
      </w:r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управлять плановыми и нормативными затратами на медикаменты, оплату персонала, амортизацию оборудования, общехозяйственные и накладные расходы в разрезе ценовых профилей (льготные категории, коммерческие услуги, ДМС и т.д.);</w:t>
      </w:r>
    </w:p>
    <w:p w:rsidR="00785453" w:rsidRPr="00B71EB8" w:rsidRDefault="00785453" w:rsidP="00B71EB8">
      <w:pPr>
        <w:pStyle w:val="a5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·                </w:t>
      </w:r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выполнять расчёт стоимости услуг на прошедший, настоящий или будущий момент времени с учетом плановых или нормативных затрат медицинских учреждений и их структурных подразделений, непрямых расходов, а также коэффициентов роста (инфляции, рентабельности, начислений на оплату труда и т.д.);</w:t>
      </w:r>
    </w:p>
    <w:p w:rsidR="00785453" w:rsidRPr="00B71EB8" w:rsidRDefault="00785453" w:rsidP="00B71EB8">
      <w:pPr>
        <w:pStyle w:val="a5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·                </w:t>
      </w:r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выполнять расчёт стоимости комплексов медицинских услуг, в том числе сложных (комплексных) услуг, 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профосмотров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, программ лечения, </w:t>
      </w:r>
      <w:proofErr w:type="spellStart"/>
      <w:proofErr w:type="gramStart"/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клинико‐статистических</w:t>
      </w:r>
      <w:proofErr w:type="spellEnd"/>
      <w:proofErr w:type="gramEnd"/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групп;</w:t>
      </w:r>
    </w:p>
    <w:p w:rsidR="00785453" w:rsidRPr="00B71EB8" w:rsidRDefault="00785453" w:rsidP="00B71EB8">
      <w:pPr>
        <w:pStyle w:val="a5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·                </w:t>
      </w:r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выполнять расчёт стоимости </w:t>
      </w:r>
      <w:proofErr w:type="spellStart"/>
      <w:proofErr w:type="gramStart"/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медико‐экономических</w:t>
      </w:r>
      <w:proofErr w:type="spellEnd"/>
      <w:proofErr w:type="gramEnd"/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стандартов с учётом вероятности и количества назначений услуг в разрезе курсов (периодов) лечения;</w:t>
      </w:r>
    </w:p>
    <w:p w:rsidR="00785453" w:rsidRPr="00B71EB8" w:rsidRDefault="00785453" w:rsidP="00B71EB8">
      <w:pPr>
        <w:pStyle w:val="a5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·                </w:t>
      </w:r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выводить на экран расчётную информацию о стоимости услуг в табличном представлении и в форме структурированных аналитических отчётов;</w:t>
      </w:r>
    </w:p>
    <w:p w:rsidR="00785453" w:rsidRPr="00B71EB8" w:rsidRDefault="00785453" w:rsidP="00B71EB8">
      <w:pPr>
        <w:pStyle w:val="a5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·                </w:t>
      </w:r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импортировать или заводить в Программу в ручном режиме классификационную, номенклатурную, нормативную, расчётную и другую информацию и хранить её в базе данных приложения;</w:t>
      </w:r>
    </w:p>
    <w:p w:rsidR="00785453" w:rsidRPr="00B71EB8" w:rsidRDefault="00785453" w:rsidP="00B71EB8">
      <w:pPr>
        <w:pStyle w:val="a5"/>
        <w:spacing w:after="0" w:afterAutospacing="0" w:line="276" w:lineRule="auto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·                </w:t>
      </w:r>
      <w:r w:rsidRPr="00B71EB8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экспортировать расчётную информацию во внешние информационные системы в виде структурированных данных. 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1F497D"/>
          <w:sz w:val="28"/>
          <w:szCs w:val="28"/>
        </w:rPr>
        <w:t> </w:t>
      </w:r>
      <w:r w:rsidR="00B71EB8" w:rsidRPr="00B71EB8">
        <w:rPr>
          <w:rFonts w:asciiTheme="minorHAnsi" w:hAnsiTheme="minorHAnsi" w:cstheme="minorHAnsi"/>
          <w:color w:val="1F497D"/>
          <w:sz w:val="28"/>
          <w:szCs w:val="28"/>
        </w:rPr>
        <w:t xml:space="preserve">Стоимость программы рассчитывается индивидуально для каждого </w:t>
      </w:r>
      <w:proofErr w:type="spellStart"/>
      <w:r w:rsidR="00B71EB8" w:rsidRPr="00B71EB8">
        <w:rPr>
          <w:rFonts w:asciiTheme="minorHAnsi" w:hAnsiTheme="minorHAnsi" w:cstheme="minorHAnsi"/>
          <w:color w:val="1F497D"/>
          <w:sz w:val="28"/>
          <w:szCs w:val="28"/>
        </w:rPr>
        <w:t>учререждения</w:t>
      </w:r>
      <w:proofErr w:type="spellEnd"/>
      <w:r w:rsidR="00B71EB8" w:rsidRPr="00B71EB8">
        <w:rPr>
          <w:rFonts w:asciiTheme="minorHAnsi" w:hAnsiTheme="minorHAnsi" w:cstheme="minorHAnsi"/>
          <w:color w:val="1F497D"/>
          <w:sz w:val="28"/>
          <w:szCs w:val="28"/>
        </w:rPr>
        <w:t>.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proofErr w:type="gramStart"/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В зависимости от Ваших задач и потребностей включаем в поставку: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br/>
        <w:t>- лицензию на ПО «Автоматизированная система управления стоимостью медицинских услуг», бессрочную, не ограниченную по количеству компьютеров, на которых Программа может быть установлена;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br/>
        <w:t>- обработку данных (прейскуранта, медикаментов, оборудования, персонала и т.п.) и подготовку конфигурации под Вас;</w:t>
      </w:r>
      <w:proofErr w:type="gramEnd"/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- базу типовых структурных моделей </w:t>
      </w:r>
      <w:r w:rsidRPr="00B71EB8">
        <w:rPr>
          <w:rFonts w:asciiTheme="minorHAnsi" w:hAnsiTheme="minorHAnsi" w:cstheme="minorHAnsi"/>
          <w:color w:val="1F497D"/>
          <w:sz w:val="28"/>
          <w:szCs w:val="28"/>
        </w:rPr>
        <w:t>медицинских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услуг;      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proofErr w:type="gram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расчёт прейскуранта под Вас на основе типовых моделей;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br/>
        <w:t>- установку и настройку Программы на Ваших компьютерах (дистанционно);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br/>
        <w:t>- настройку под Вас отчётных форм (при необходимости – разработку новых);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br/>
        <w:t>- сопроводительную эксплуатационную документацию на Программу (для экономистов и администраторов);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br/>
        <w:t>- обучение Ваших специалистов экономического и технического профиля;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br/>
        <w:t>- техническую и методологическую поддержку в течение года с момента ввода Программы в эксплуатацию, включая регулярные обновления.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br/>
        <w:t> </w:t>
      </w:r>
      <w:proofErr w:type="gramEnd"/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 xml:space="preserve">Программа может поставлять в разной комплектации: 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>·         Стоматология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>·         Гинекология/урология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>·         Косметология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>·         Амбулатория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 xml:space="preserve">·         </w:t>
      </w:r>
      <w:proofErr w:type="spellStart"/>
      <w:r w:rsidRPr="00B71EB8">
        <w:rPr>
          <w:rFonts w:asciiTheme="minorHAnsi" w:hAnsiTheme="minorHAnsi" w:cstheme="minorHAnsi"/>
          <w:color w:val="203864"/>
          <w:sz w:val="28"/>
          <w:szCs w:val="28"/>
        </w:rPr>
        <w:t>Профосмотры</w:t>
      </w:r>
      <w:proofErr w:type="spellEnd"/>
      <w:r w:rsidRPr="00B71EB8">
        <w:rPr>
          <w:rFonts w:asciiTheme="minorHAnsi" w:hAnsiTheme="minorHAnsi" w:cstheme="minorHAnsi"/>
          <w:color w:val="203864"/>
          <w:sz w:val="28"/>
          <w:szCs w:val="28"/>
        </w:rPr>
        <w:t>/комплексы/</w:t>
      </w:r>
      <w:proofErr w:type="spellStart"/>
      <w:r w:rsidRPr="00B71EB8">
        <w:rPr>
          <w:rFonts w:asciiTheme="minorHAnsi" w:hAnsiTheme="minorHAnsi" w:cstheme="minorHAnsi"/>
          <w:color w:val="203864"/>
          <w:sz w:val="28"/>
          <w:szCs w:val="28"/>
        </w:rPr>
        <w:t>чекапы</w:t>
      </w:r>
      <w:proofErr w:type="spellEnd"/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>·         Лаборатория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lastRenderedPageBreak/>
        <w:t>·         Стационар/законченные случаи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>·         Санаторий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> 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 xml:space="preserve">Мы </w:t>
      </w:r>
      <w:proofErr w:type="gramStart"/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>можем</w:t>
      </w:r>
      <w:proofErr w:type="gramEnd"/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 xml:space="preserve"> предложит Вам следующие варианты поставки.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 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</w:r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>Вариант 1.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t xml:space="preserve"> Установка и настройка Программы, в том числе загрузка Ваших данных, без наполнения структуры услуг и расчёта стоимости.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</w:r>
      <w:proofErr w:type="gramStart"/>
      <w:r w:rsidRPr="00B71EB8">
        <w:rPr>
          <w:rFonts w:asciiTheme="minorHAnsi" w:hAnsiTheme="minorHAnsi" w:cstheme="minorHAnsi"/>
          <w:color w:val="203864"/>
          <w:sz w:val="28"/>
          <w:szCs w:val="28"/>
        </w:rPr>
        <w:t>Мы включаем в поставку: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- лицензию на ПО «Автоматизированная система управления стоимостью медицинских услуг», бессрочную, не ограниченную по количеству компьютеров, на которых Программа может быть установлена;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- обработку данных (прейскуранта, медикаментов, оборудования, персонала и т.п.) и подготовку конфигурации под Вас;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- установку и настройку Программы на Ваших компьютерах (дистанционно);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- настройку под Вас отчётных форм (при необходимости – разработку новых);</w:t>
      </w:r>
      <w:proofErr w:type="gramEnd"/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- сопроводительную эксплуатационную документацию на Программу (для экономистов и администраторов);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- обучение Ваших специалистов экономического и технического профиля;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- техническую и методологическую поддержку в течение года с момента ввода Программы в эксплуатацию, включая регулярные обновления.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 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В рамках проведения работ мы запрашиваем Ваши данные по услугам, оборудованию, персоналу, медикаментам, структуре и т.д., обрабатываем и переформатируем их, после чего переносим в справочники Программы. 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Далее мы устанавливаем и настраиваем Программу на Ваших компьютерах и проводим обучение персонала технического и экономического профиля.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Работы по настройке состава (структуры) услуг по Вашему прейскуранту </w:t>
      </w:r>
      <w:r w:rsidRPr="00B71EB8">
        <w:rPr>
          <w:rFonts w:asciiTheme="minorHAnsi" w:hAnsiTheme="minorHAnsi" w:cstheme="minorHAnsi"/>
          <w:color w:val="203864"/>
          <w:sz w:val="28"/>
          <w:szCs w:val="28"/>
          <w:u w:val="single"/>
        </w:rPr>
        <w:t>выполняются силами экономистов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t>.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  <w:t>  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</w:r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>Вариант 2.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t xml:space="preserve"> </w:t>
      </w:r>
      <w:proofErr w:type="gramStart"/>
      <w:r w:rsidRPr="00B71EB8">
        <w:rPr>
          <w:rFonts w:asciiTheme="minorHAnsi" w:hAnsiTheme="minorHAnsi" w:cstheme="minorHAnsi"/>
          <w:color w:val="203864"/>
          <w:sz w:val="28"/>
          <w:szCs w:val="28"/>
        </w:rPr>
        <w:t>В</w:t>
      </w:r>
      <w:proofErr w:type="gramEnd"/>
      <w:r w:rsidRPr="00B71EB8">
        <w:rPr>
          <w:rFonts w:asciiTheme="minorHAnsi" w:hAnsiTheme="minorHAnsi" w:cstheme="minorHAnsi"/>
          <w:color w:val="203864"/>
          <w:sz w:val="28"/>
          <w:szCs w:val="28"/>
        </w:rPr>
        <w:t xml:space="preserve">  </w:t>
      </w:r>
      <w:proofErr w:type="gramStart"/>
      <w:r w:rsidRPr="00B71EB8">
        <w:rPr>
          <w:rFonts w:asciiTheme="minorHAnsi" w:hAnsiTheme="minorHAnsi" w:cstheme="minorHAnsi"/>
          <w:color w:val="203864"/>
          <w:sz w:val="28"/>
          <w:szCs w:val="28"/>
        </w:rPr>
        <w:t>рамка</w:t>
      </w:r>
      <w:proofErr w:type="gramEnd"/>
      <w:r w:rsidRPr="00B71EB8">
        <w:rPr>
          <w:rFonts w:asciiTheme="minorHAnsi" w:hAnsiTheme="minorHAnsi" w:cstheme="minorHAnsi"/>
          <w:color w:val="203864"/>
          <w:sz w:val="28"/>
          <w:szCs w:val="28"/>
        </w:rPr>
        <w:t xml:space="preserve"> данного варианта мы выполняем полный перечень работ по структурированию и расчёту прейскуранта и сдаём Вам Программу вместе с расчётами “под ключ”.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t> 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</w:r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  <w:u w:val="single"/>
        </w:rPr>
        <w:t>Дополнительно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t xml:space="preserve"> мы можем Вам предложить типовую конфигурацию, включающую более 2 500 структур медицинских услуг (структура указанных услуг выверена с точки зрения действующих нормативов, </w:t>
      </w:r>
      <w:r w:rsidRPr="00B71EB8">
        <w:rPr>
          <w:rFonts w:asciiTheme="minorHAnsi" w:hAnsiTheme="minorHAnsi" w:cstheme="minorHAnsi"/>
          <w:color w:val="203864"/>
          <w:sz w:val="28"/>
          <w:szCs w:val="28"/>
        </w:rPr>
        <w:lastRenderedPageBreak/>
        <w:t xml:space="preserve">например, в части времени работы специалистов, коэффициентов простоя по должностям, расходов по материалам, сложности оказания услуг и т.д.); таким </w:t>
      </w:r>
      <w:proofErr w:type="gramStart"/>
      <w:r w:rsidRPr="00B71EB8">
        <w:rPr>
          <w:rFonts w:asciiTheme="minorHAnsi" w:hAnsiTheme="minorHAnsi" w:cstheme="minorHAnsi"/>
          <w:color w:val="203864"/>
          <w:sz w:val="28"/>
          <w:szCs w:val="28"/>
        </w:rPr>
        <w:t>образом</w:t>
      </w:r>
      <w:proofErr w:type="gramEnd"/>
      <w:r w:rsidRPr="00B71EB8">
        <w:rPr>
          <w:rFonts w:asciiTheme="minorHAnsi" w:hAnsiTheme="minorHAnsi" w:cstheme="minorHAnsi"/>
          <w:color w:val="203864"/>
          <w:sz w:val="28"/>
          <w:szCs w:val="28"/>
        </w:rPr>
        <w:t xml:space="preserve"> типовая конфигурация ложится в основу прейскуранта наших клиентов, как по действующим услугам, так и по вновь вводимым. 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> 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>Таким образом, стоимость проекта определяется индивидуально в зависимости от комплектации, объёма Ваших данных и иных факторов, влияющих на трудозатраты.</w:t>
      </w:r>
    </w:p>
    <w:p w:rsidR="00785453" w:rsidRPr="00B71EB8" w:rsidRDefault="00785453" w:rsidP="00B71EB8">
      <w:pPr>
        <w:pStyle w:val="a5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1F497D"/>
          <w:sz w:val="28"/>
          <w:szCs w:val="28"/>
        </w:rPr>
        <w:t> 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Лаборатория разработала и внедрила</w:t>
      </w:r>
      <w:proofErr w:type="gramStart"/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“А</w:t>
      </w:r>
      <w:proofErr w:type="gramEnd"/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втоматизированную систему управления стоимостью медицинских услуг” в более 40 федеральных и региональных медицинских центрах, в том числе:</w:t>
      </w:r>
    </w:p>
    <w:p w:rsidR="00785453" w:rsidRPr="00B71EB8" w:rsidRDefault="00785453" w:rsidP="00B71EB8">
      <w:pPr>
        <w:pStyle w:val="a5"/>
        <w:spacing w:after="0" w:afterAutospacing="0"/>
        <w:ind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1F497D"/>
          <w:sz w:val="28"/>
          <w:szCs w:val="28"/>
        </w:rPr>
        <w:t> </w:t>
      </w:r>
    </w:p>
    <w:p w:rsidR="00785453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B71EB8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Стационары/больницы:</w:t>
      </w:r>
    </w:p>
    <w:p w:rsidR="00B71EB8" w:rsidRPr="00B71EB8" w:rsidRDefault="00B71EB8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ФГБУ «МФК Минфина России»;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«НИИ скорой помощи им. Н.В. Склифосовского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ГБУЗ «Городская больница города </w:t>
      </w:r>
      <w:proofErr w:type="gram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Московский</w:t>
      </w:r>
      <w:proofErr w:type="gram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«Городская клиническая больница №17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ГУЗ Саратовской области «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Новобурасская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районная больница»;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ГУЗ Саратовской области «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Базарно-карабулакская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районная больница»;</w:t>
      </w:r>
    </w:p>
    <w:p w:rsidR="00785453" w:rsidRPr="00B71EB8" w:rsidRDefault="00B71EB8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 </w:t>
      </w:r>
      <w:r w:rsidR="00785453" w:rsidRPr="00B71EB8">
        <w:rPr>
          <w:rFonts w:asciiTheme="minorHAnsi" w:hAnsiTheme="minorHAnsi" w:cstheme="minorHAnsi"/>
          <w:color w:val="002060"/>
          <w:sz w:val="28"/>
          <w:szCs w:val="28"/>
        </w:rPr>
        <w:t>ГУЗ Саратовской области «Воскресенская районная больница»;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ОГБУЗ «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Осинская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районная больница»;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Калининградской области «Пионерская городская больница»;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ФГБУ курортная больница Минздрава России;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ФГБУ «Российский реабилитационный центр «Детство» Минздрава России.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«Инфекционная клиническая больница №2 ДЗМ».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i/>
          <w:iCs/>
          <w:color w:val="002060"/>
          <w:sz w:val="28"/>
          <w:szCs w:val="28"/>
        </w:rPr>
        <w:t> </w:t>
      </w:r>
    </w:p>
    <w:p w:rsidR="00785453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B71EB8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Амбулаторно-поликлинические объединения:</w:t>
      </w:r>
    </w:p>
    <w:p w:rsidR="00B71EB8" w:rsidRPr="00B71EB8" w:rsidRDefault="00B71EB8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«Городская поликлиника №220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«Городская поликлиника №3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«Городская поликлиника №5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«Городская поликлиника №36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«Городская поликлиника №62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«Городская поликлиника № 191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lastRenderedPageBreak/>
        <w:t>ГБУЗ «Консультативно-диагностическая поликлиника №121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ООО «Медицинский Центр «МСЧ -24»;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ГБУЗ «Консультативно-диагностический центр № 6 ДЗМ»;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Филиал № 1 ФБУЗ «Лечебно-реабилитационный центр Минэкономразвития России»;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ООО «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Маир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Клиника».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 </w:t>
      </w:r>
    </w:p>
    <w:p w:rsidR="00785453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B71EB8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Санатории:</w:t>
      </w:r>
    </w:p>
    <w:p w:rsidR="00B71EB8" w:rsidRPr="00B71EB8" w:rsidRDefault="00B71EB8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ФГБУ «Военный̆ санаторий «Крым» МО РФ;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ФГБУ «Военный санаторий «Ялта» МО РФ;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ГУП РК «Санаторий «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Мисхор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>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ГУП РК «Санаторий «Ай </w:t>
      </w:r>
      <w:proofErr w:type="gram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-П</w:t>
      </w:r>
      <w:proofErr w:type="gramEnd"/>
      <w:r w:rsidRPr="00B71EB8">
        <w:rPr>
          <w:rFonts w:asciiTheme="minorHAnsi" w:hAnsiTheme="minorHAnsi" w:cstheme="minorHAnsi"/>
          <w:color w:val="002060"/>
          <w:sz w:val="28"/>
          <w:szCs w:val="28"/>
        </w:rPr>
        <w:t>етри»;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ФБУ Санаторий «Вороново» Минэкономразвития;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ФГБУ детский санаторий «Озеро 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Шира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>» Минздрава России;</w:t>
      </w:r>
    </w:p>
    <w:p w:rsidR="00785453" w:rsidRPr="00B71EB8" w:rsidRDefault="00785453" w:rsidP="00B71EB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ФГБУ детский санаторий «Белокуриха» Минздрава России.</w:t>
      </w:r>
    </w:p>
    <w:p w:rsidR="00785453" w:rsidRPr="00B71EB8" w:rsidRDefault="00785453" w:rsidP="00B71EB8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1F497D"/>
          <w:sz w:val="28"/>
          <w:szCs w:val="28"/>
        </w:rPr>
        <w:t> </w:t>
      </w:r>
    </w:p>
    <w:p w:rsidR="00785453" w:rsidRPr="00B71EB8" w:rsidRDefault="00785453" w:rsidP="00B71EB8">
      <w:pPr>
        <w:pStyle w:val="a5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203864"/>
          <w:sz w:val="28"/>
          <w:szCs w:val="28"/>
        </w:rPr>
        <w:br/>
      </w:r>
      <w:r w:rsidRPr="00B71EB8">
        <w:rPr>
          <w:rFonts w:asciiTheme="minorHAnsi" w:hAnsiTheme="minorHAnsi" w:cstheme="minorHAnsi"/>
          <w:b/>
          <w:bCs/>
          <w:i/>
          <w:iCs/>
          <w:color w:val="203864"/>
          <w:sz w:val="28"/>
          <w:szCs w:val="28"/>
          <w:shd w:val="clear" w:color="auto" w:fill="FFFFFF"/>
        </w:rPr>
        <w:t>Дополнительно предлагаем для медицинских учреждений следующие услуги:</w:t>
      </w:r>
    </w:p>
    <w:p w:rsidR="00785453" w:rsidRPr="00B71EB8" w:rsidRDefault="00785453" w:rsidP="00B71EB8">
      <w:pPr>
        <w:pStyle w:val="a5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i/>
          <w:iCs/>
          <w:color w:val="203864"/>
          <w:sz w:val="28"/>
          <w:szCs w:val="28"/>
          <w:shd w:val="clear" w:color="auto" w:fill="FFFFFF"/>
        </w:rPr>
        <w:t> </w:t>
      </w: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Услуги по формированию конфигурации и расчёту себестоимости и стоимости медицинских услуг, оказываемых Вашим учреждением, «под ключ»; методическая поддержка и консультации по вопросам процедур и методик ценообразования согласно актуальной нормативной базе РФ;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Разработка концепции и стратегии развития платных услуг в медицинских учреждениях;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  <w:lang w:val="en-US"/>
        </w:rPr>
        <w:t>NEW</w:t>
      </w:r>
      <w:r w:rsidRPr="00B71EB8">
        <w:rPr>
          <w:rFonts w:asciiTheme="minorHAnsi" w:hAnsiTheme="minorHAnsi" w:cstheme="minorHAnsi"/>
          <w:b/>
          <w:bCs/>
          <w:color w:val="002060"/>
          <w:sz w:val="28"/>
          <w:szCs w:val="28"/>
        </w:rPr>
        <w:t>! Разработка и внедрение эффективного контракта. Автоматизация ведения эффективного контракта;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Маркетинговые исследования и решения;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Консультирование по вопросам коммерческой деятельности и управления: в области методологии, IT-консалтинг, экономический и маркетинговый консалтинг;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>Разработка программного обеспечения и консультирование в этой области (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ИТ-консалтинг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);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Внедрение </w:t>
      </w:r>
      <w:proofErr w:type="spell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ИТ-решений</w:t>
      </w:r>
      <w:proofErr w:type="spell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для автоматизации медицинских и прочих учреждений;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Автоматизация бизнес-процессов, финансово-хозяйственной деятельности медицинского учреждения по направлениям;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lastRenderedPageBreak/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Обработка данных;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Консалтинг и научные исследования в области управления медицинскими учреждениями;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proofErr w:type="gramStart"/>
      <w:r w:rsidRPr="00B71EB8">
        <w:rPr>
          <w:rFonts w:asciiTheme="minorHAnsi" w:hAnsiTheme="minorHAnsi" w:cstheme="minorHAnsi"/>
          <w:color w:val="002060"/>
          <w:sz w:val="28"/>
          <w:szCs w:val="28"/>
        </w:rPr>
        <w:t>Обучение по направлениям</w:t>
      </w:r>
      <w:proofErr w:type="gramEnd"/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 организации и планирования деятельности учреждения; </w:t>
      </w:r>
    </w:p>
    <w:p w:rsidR="00785453" w:rsidRPr="00B71EB8" w:rsidRDefault="00785453" w:rsidP="00B71EB8">
      <w:pPr>
        <w:pStyle w:val="a5"/>
        <w:spacing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70AD47"/>
          <w:sz w:val="28"/>
          <w:szCs w:val="28"/>
        </w:rPr>
        <w:t xml:space="preserve"> </w:t>
      </w:r>
      <w:r w:rsidRPr="00B71EB8">
        <w:rPr>
          <w:rFonts w:asciiTheme="minorHAnsi" w:hAnsiTheme="minorHAnsi" w:cstheme="minorHAnsi"/>
          <w:color w:val="002060"/>
          <w:sz w:val="28"/>
          <w:szCs w:val="28"/>
        </w:rPr>
        <w:t xml:space="preserve">НИР и НИОКР в области экономики здравоохранения. </w:t>
      </w:r>
    </w:p>
    <w:p w:rsidR="00785453" w:rsidRPr="00B71EB8" w:rsidRDefault="00785453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  <w:r w:rsidRPr="00B71EB8">
        <w:rPr>
          <w:rFonts w:asciiTheme="minorHAnsi" w:hAnsiTheme="minorHAnsi" w:cstheme="minorHAnsi"/>
          <w:color w:val="002060"/>
          <w:sz w:val="28"/>
          <w:szCs w:val="28"/>
        </w:rPr>
        <w:t> </w:t>
      </w:r>
    </w:p>
    <w:p w:rsidR="00F45068" w:rsidRPr="00B71EB8" w:rsidRDefault="007F4D4D" w:rsidP="00B71EB8">
      <w:pPr>
        <w:pStyle w:val="a5"/>
        <w:spacing w:after="0" w:afterAutospacing="0"/>
        <w:ind w:left="851" w:right="851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bookmarkStart w:id="1" w:name="_Hlk475902432"/>
      <w:r>
        <w:rPr>
          <w:rFonts w:asciiTheme="minorHAnsi" w:hAnsiTheme="minorHAnsi" w:cstheme="minorHAnsi"/>
          <w:b/>
          <w:bCs/>
          <w:color w:val="203864"/>
          <w:sz w:val="28"/>
          <w:szCs w:val="28"/>
        </w:rPr>
        <w:t>Свяжитесь с нами, и мы вышлем всю</w:t>
      </w:r>
      <w:r w:rsidR="00F45068"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t xml:space="preserve"> необходимую документацию и доступ к тестовой версии, а также  рассчита</w:t>
      </w:r>
      <w:r>
        <w:rPr>
          <w:rFonts w:asciiTheme="minorHAnsi" w:hAnsiTheme="minorHAnsi" w:cstheme="minorHAnsi"/>
          <w:b/>
          <w:bCs/>
          <w:color w:val="203864"/>
          <w:sz w:val="28"/>
          <w:szCs w:val="28"/>
        </w:rPr>
        <w:t>ем  стоимость программы для вашего учреждения.</w:t>
      </w:r>
      <w:r w:rsidR="00785453" w:rsidRPr="00B71EB8">
        <w:rPr>
          <w:rFonts w:asciiTheme="minorHAnsi" w:hAnsiTheme="minorHAnsi" w:cstheme="minorHAnsi"/>
          <w:b/>
          <w:bCs/>
          <w:color w:val="203864"/>
          <w:sz w:val="28"/>
          <w:szCs w:val="28"/>
        </w:rPr>
        <w:br/>
      </w:r>
      <w:bookmarkEnd w:id="1"/>
    </w:p>
    <w:p w:rsidR="00785453" w:rsidRDefault="00785453" w:rsidP="00122C1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B71EB8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 уважением,</w:t>
      </w:r>
    </w:p>
    <w:p w:rsidR="0003718D" w:rsidRDefault="0003718D" w:rsidP="00122C1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</w:p>
    <w:p w:rsidR="0003718D" w:rsidRDefault="0003718D" w:rsidP="00122C1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2060"/>
          <w:sz w:val="28"/>
          <w:szCs w:val="28"/>
        </w:rPr>
        <w:t>(ВАШИ КОНТАКТЫ)</w:t>
      </w:r>
    </w:p>
    <w:p w:rsidR="007F4D4D" w:rsidRPr="00B71EB8" w:rsidRDefault="007F4D4D" w:rsidP="00122C18">
      <w:pPr>
        <w:pStyle w:val="a5"/>
        <w:spacing w:before="0" w:beforeAutospacing="0" w:after="0" w:afterAutospacing="0"/>
        <w:ind w:left="851" w:right="851"/>
        <w:rPr>
          <w:rFonts w:asciiTheme="minorHAnsi" w:hAnsiTheme="minorHAnsi" w:cstheme="minorHAnsi"/>
          <w:sz w:val="28"/>
          <w:szCs w:val="28"/>
        </w:rPr>
      </w:pPr>
    </w:p>
    <w:bookmarkEnd w:id="0"/>
    <w:p w:rsidR="00785453" w:rsidRPr="00B71EB8" w:rsidRDefault="00785453" w:rsidP="00B71EB8">
      <w:pPr>
        <w:spacing w:after="0"/>
        <w:rPr>
          <w:rFonts w:cstheme="minorHAnsi"/>
          <w:sz w:val="28"/>
          <w:szCs w:val="28"/>
        </w:rPr>
      </w:pPr>
    </w:p>
    <w:sectPr w:rsidR="00785453" w:rsidRPr="00B71EB8" w:rsidSect="00B71EB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2F"/>
    <w:rsid w:val="0003718D"/>
    <w:rsid w:val="00122C18"/>
    <w:rsid w:val="004329F6"/>
    <w:rsid w:val="006C5A5E"/>
    <w:rsid w:val="00727744"/>
    <w:rsid w:val="00762032"/>
    <w:rsid w:val="00785453"/>
    <w:rsid w:val="007F4D4D"/>
    <w:rsid w:val="008B3AB6"/>
    <w:rsid w:val="008F4599"/>
    <w:rsid w:val="009D67C5"/>
    <w:rsid w:val="00AC1D6A"/>
    <w:rsid w:val="00B71EB8"/>
    <w:rsid w:val="00DF2AF1"/>
    <w:rsid w:val="00E3463F"/>
    <w:rsid w:val="00F45068"/>
    <w:rsid w:val="00FE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53"/>
    <w:rPr>
      <w:rFonts w:ascii="Tahoma" w:hAnsi="Tahoma" w:cs="Tahoma"/>
      <w:sz w:val="16"/>
      <w:szCs w:val="16"/>
    </w:rPr>
  </w:style>
  <w:style w:type="character" w:customStyle="1" w:styleId="mail-message-toolbar-subject-wrapper">
    <w:name w:val="mail-message-toolbar-subject-wrapper"/>
    <w:basedOn w:val="a0"/>
    <w:rsid w:val="00785453"/>
  </w:style>
  <w:style w:type="paragraph" w:styleId="a5">
    <w:name w:val="Normal (Web)"/>
    <w:basedOn w:val="a"/>
    <w:uiPriority w:val="99"/>
    <w:semiHidden/>
    <w:unhideWhenUsed/>
    <w:rsid w:val="0078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85453"/>
  </w:style>
  <w:style w:type="character" w:customStyle="1" w:styleId="b-pseudo-link">
    <w:name w:val="b-pseudo-link"/>
    <w:basedOn w:val="a0"/>
    <w:rsid w:val="00785453"/>
  </w:style>
  <w:style w:type="character" w:styleId="a6">
    <w:name w:val="Hyperlink"/>
    <w:basedOn w:val="a0"/>
    <w:uiPriority w:val="99"/>
    <w:unhideWhenUsed/>
    <w:rsid w:val="00785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dcterms:created xsi:type="dcterms:W3CDTF">2017-02-20T19:09:00Z</dcterms:created>
  <dcterms:modified xsi:type="dcterms:W3CDTF">2017-02-26T18:27:00Z</dcterms:modified>
</cp:coreProperties>
</file>